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499"/>
        <w:gridCol w:w="8670"/>
      </w:tblGrid>
      <w:tr w:rsidR="00416EE7" w:rsidRPr="00416EE7" w:rsidTr="00F40591">
        <w:trPr>
          <w:trHeight w:val="6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1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8583" w:type="dxa"/>
          </w:tcPr>
          <w:p w:rsidR="00416EE7" w:rsidRPr="00416EE7" w:rsidRDefault="00F40591" w:rsidP="00B60EDF">
            <w:pPr>
              <w:jc w:val="center"/>
              <w:rPr>
                <w:sz w:val="20"/>
                <w:szCs w:val="20"/>
                <w:lang w:val="ru-RU"/>
              </w:rPr>
            </w:pPr>
            <w:r w:rsidRPr="00E506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Страхування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власних приміщень, капітальних вкладень та рухомого майна</w:t>
            </w:r>
          </w:p>
        </w:tc>
      </w:tr>
      <w:tr w:rsidR="00416EE7" w:rsidRPr="00416EE7" w:rsidTr="00F40591">
        <w:trPr>
          <w:trHeight w:val="3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*Кількість об'єктів</w:t>
            </w:r>
          </w:p>
        </w:tc>
        <w:tc>
          <w:tcPr>
            <w:tcW w:w="8583" w:type="dxa"/>
          </w:tcPr>
          <w:p w:rsidR="00416EE7" w:rsidRPr="00F40591" w:rsidRDefault="000A7B96" w:rsidP="00B60E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</w:tr>
      <w:tr w:rsidR="00416EE7" w:rsidRPr="00416EE7" w:rsidTr="00F40591">
        <w:trPr>
          <w:trHeight w:val="3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Страхова сума на 1 (один) об'єкт, грн.</w:t>
            </w:r>
          </w:p>
        </w:tc>
        <w:tc>
          <w:tcPr>
            <w:tcW w:w="8583" w:type="dxa"/>
          </w:tcPr>
          <w:p w:rsidR="00410DE7" w:rsidRPr="00B60EDF" w:rsidRDefault="00410DE7" w:rsidP="00B6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 xml:space="preserve">Нерухоме майно – </w:t>
            </w:r>
            <w:proofErr w:type="spellStart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балансова</w:t>
            </w:r>
            <w:proofErr w:type="spellEnd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вартість</w:t>
            </w:r>
            <w:proofErr w:type="spellEnd"/>
          </w:p>
          <w:p w:rsidR="00410DE7" w:rsidRPr="00B60EDF" w:rsidRDefault="00410DE7" w:rsidP="00B6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>Рухоме майно – первісна балансова вартість</w:t>
            </w:r>
          </w:p>
          <w:p w:rsidR="00416EE7" w:rsidRPr="00F40591" w:rsidRDefault="00410DE7" w:rsidP="00B60EDF">
            <w:pPr>
              <w:jc w:val="center"/>
              <w:rPr>
                <w:sz w:val="20"/>
                <w:szCs w:val="20"/>
                <w:lang w:val="ru-RU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>Капітальні вкладення</w:t>
            </w:r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оздоблення</w:t>
            </w:r>
            <w:proofErr w:type="spellEnd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– заявлена </w:t>
            </w:r>
            <w:proofErr w:type="spellStart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</w:tr>
      <w:tr w:rsidR="00416EE7" w:rsidRPr="00416EE7" w:rsidTr="00F40591">
        <w:trPr>
          <w:trHeight w:val="6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**Загальна страхова сума, грн.</w:t>
            </w:r>
          </w:p>
        </w:tc>
        <w:tc>
          <w:tcPr>
            <w:tcW w:w="8583" w:type="dxa"/>
          </w:tcPr>
          <w:p w:rsidR="00416EE7" w:rsidRPr="00253F5E" w:rsidRDefault="00A0747E" w:rsidP="00B60EDF">
            <w:pPr>
              <w:jc w:val="center"/>
              <w:rPr>
                <w:sz w:val="20"/>
                <w:szCs w:val="20"/>
                <w:lang w:val="ru-RU"/>
              </w:rPr>
            </w:pPr>
            <w:r w:rsidRPr="00A0747E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en-US"/>
              </w:rPr>
              <w:t> </w:t>
            </w:r>
            <w:r w:rsidRPr="00A0747E">
              <w:rPr>
                <w:sz w:val="20"/>
                <w:szCs w:val="20"/>
                <w:lang w:val="ru-RU"/>
              </w:rPr>
              <w:t>318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A0747E">
              <w:rPr>
                <w:sz w:val="20"/>
                <w:szCs w:val="20"/>
                <w:lang w:val="ru-RU"/>
              </w:rPr>
              <w:t>312</w:t>
            </w:r>
            <w:r>
              <w:rPr>
                <w:sz w:val="20"/>
                <w:szCs w:val="20"/>
                <w:lang w:val="en-US"/>
              </w:rPr>
              <w:t> </w:t>
            </w:r>
            <w:r w:rsidRPr="00A0747E">
              <w:rPr>
                <w:sz w:val="20"/>
                <w:szCs w:val="20"/>
                <w:lang w:val="ru-RU"/>
              </w:rPr>
              <w:t>400.</w:t>
            </w:r>
            <w:r w:rsidRPr="00253F5E">
              <w:rPr>
                <w:sz w:val="20"/>
                <w:szCs w:val="20"/>
                <w:lang w:val="ru-RU"/>
              </w:rPr>
              <w:t>00</w:t>
            </w:r>
            <w:r w:rsidR="00F40591">
              <w:rPr>
                <w:sz w:val="20"/>
                <w:szCs w:val="20"/>
                <w:lang w:val="ru-RU"/>
              </w:rPr>
              <w:t xml:space="preserve"> грн.</w:t>
            </w:r>
          </w:p>
          <w:p w:rsidR="00253F5E" w:rsidRPr="00253F5E" w:rsidRDefault="00253F5E" w:rsidP="00253F5E">
            <w:pPr>
              <w:jc w:val="center"/>
              <w:rPr>
                <w:sz w:val="20"/>
                <w:szCs w:val="20"/>
                <w:lang w:val="ru-RU"/>
              </w:rPr>
            </w:pPr>
            <w:r w:rsidRPr="00253F5E">
              <w:rPr>
                <w:sz w:val="20"/>
                <w:szCs w:val="20"/>
                <w:lang w:val="ru-RU"/>
              </w:rPr>
              <w:t>Нерухоме майно – 4 092 312 400.00 грн.</w:t>
            </w:r>
          </w:p>
          <w:p w:rsidR="00253F5E" w:rsidRPr="00253F5E" w:rsidRDefault="00253F5E" w:rsidP="00253F5E">
            <w:pPr>
              <w:jc w:val="center"/>
              <w:rPr>
                <w:sz w:val="20"/>
                <w:szCs w:val="20"/>
                <w:lang w:val="ru-RU"/>
              </w:rPr>
            </w:pPr>
            <w:r w:rsidRPr="00253F5E">
              <w:rPr>
                <w:sz w:val="20"/>
                <w:szCs w:val="20"/>
                <w:lang w:val="ru-RU"/>
              </w:rPr>
              <w:t>Рухоме майно – 858 000 000.00 грн.</w:t>
            </w:r>
          </w:p>
          <w:p w:rsidR="00253F5E" w:rsidRPr="00253F5E" w:rsidRDefault="00253F5E" w:rsidP="00253F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3F5E">
              <w:rPr>
                <w:sz w:val="20"/>
                <w:szCs w:val="20"/>
                <w:lang w:val="en-US"/>
              </w:rPr>
              <w:t>Капітальні</w:t>
            </w:r>
            <w:proofErr w:type="spellEnd"/>
            <w:r w:rsidRPr="00253F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F5E">
              <w:rPr>
                <w:sz w:val="20"/>
                <w:szCs w:val="20"/>
                <w:lang w:val="en-US"/>
              </w:rPr>
              <w:t>вкладення</w:t>
            </w:r>
            <w:proofErr w:type="spellEnd"/>
            <w:r w:rsidRPr="00253F5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53F5E">
              <w:rPr>
                <w:sz w:val="20"/>
                <w:szCs w:val="20"/>
                <w:lang w:val="en-US"/>
              </w:rPr>
              <w:t>оздоблення</w:t>
            </w:r>
            <w:proofErr w:type="spellEnd"/>
            <w:r w:rsidRPr="00253F5E">
              <w:rPr>
                <w:sz w:val="20"/>
                <w:szCs w:val="20"/>
                <w:lang w:val="en-US"/>
              </w:rPr>
              <w:t xml:space="preserve"> – 368 000 000.00</w:t>
            </w:r>
          </w:p>
        </w:tc>
      </w:tr>
      <w:tr w:rsidR="00416EE7" w:rsidRPr="00416EE7" w:rsidTr="00F40591">
        <w:trPr>
          <w:trHeight w:val="3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Франшиза, %</w:t>
            </w:r>
          </w:p>
        </w:tc>
        <w:tc>
          <w:tcPr>
            <w:tcW w:w="8583" w:type="dxa"/>
          </w:tcPr>
          <w:p w:rsidR="00F40591" w:rsidRPr="00C822A4" w:rsidRDefault="00F40591" w:rsidP="00B6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 xml:space="preserve">Нерухоме майно </w:t>
            </w:r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822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</w:t>
            </w:r>
            <w:proofErr w:type="spellStart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іант</w:t>
            </w:r>
            <w:proofErr w:type="spellEnd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 xml:space="preserve"> 1: 0; варіант 2: 0,5%, варіант 3: 1%.</w:t>
            </w:r>
          </w:p>
          <w:p w:rsidR="00F40591" w:rsidRPr="00B60EDF" w:rsidRDefault="00F40591" w:rsidP="00B6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 xml:space="preserve">Рухоме майно – </w:t>
            </w:r>
            <w:r w:rsidR="00C822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</w:t>
            </w:r>
            <w:proofErr w:type="spellStart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іант</w:t>
            </w:r>
            <w:proofErr w:type="spellEnd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 xml:space="preserve"> 1: 0; варіант 2: 0,5%, варіант 3: 1%</w:t>
            </w:r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16EE7" w:rsidRPr="00B60EDF" w:rsidRDefault="00F40591" w:rsidP="00B60EDF">
            <w:pPr>
              <w:jc w:val="center"/>
              <w:rPr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>Капітальні вкладення</w:t>
            </w:r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B60E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оздоблення</w:t>
            </w:r>
            <w:proofErr w:type="spellEnd"/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C822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C822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</w:t>
            </w:r>
            <w:proofErr w:type="spellStart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іант</w:t>
            </w:r>
            <w:proofErr w:type="spellEnd"/>
            <w:r w:rsidR="00C822A4">
              <w:rPr>
                <w:rFonts w:ascii="Times New Roman" w:hAnsi="Times New Roman"/>
                <w:bCs/>
                <w:sz w:val="20"/>
                <w:szCs w:val="20"/>
              </w:rPr>
              <w:t xml:space="preserve"> 1: 0; варіант 2: 0,5%, варіант 3: 1%</w:t>
            </w:r>
            <w:r w:rsidR="00C822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16EE7" w:rsidRPr="00416EE7" w:rsidTr="00F40591">
        <w:trPr>
          <w:trHeight w:val="60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Умови сплати страхового платежу</w:t>
            </w:r>
          </w:p>
        </w:tc>
        <w:tc>
          <w:tcPr>
            <w:tcW w:w="8583" w:type="dxa"/>
          </w:tcPr>
          <w:p w:rsidR="00416EE7" w:rsidRPr="00B60EDF" w:rsidRDefault="00F40591" w:rsidP="00B60EDF">
            <w:pPr>
              <w:jc w:val="center"/>
              <w:rPr>
                <w:sz w:val="20"/>
                <w:szCs w:val="20"/>
              </w:rPr>
            </w:pPr>
            <w:r w:rsidRPr="00B60EDF">
              <w:rPr>
                <w:rFonts w:ascii="Times New Roman" w:hAnsi="Times New Roman"/>
                <w:bCs/>
                <w:sz w:val="20"/>
                <w:szCs w:val="20"/>
              </w:rPr>
              <w:t>Платіж з розбивкою на квартали</w:t>
            </w:r>
          </w:p>
        </w:tc>
      </w:tr>
      <w:tr w:rsidR="00416EE7" w:rsidRPr="00416EE7" w:rsidTr="00F40591">
        <w:trPr>
          <w:trHeight w:val="5441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Страхові ризики</w:t>
            </w:r>
          </w:p>
        </w:tc>
        <w:tc>
          <w:tcPr>
            <w:tcW w:w="8583" w:type="dxa"/>
            <w:hideMark/>
          </w:tcPr>
          <w:tbl>
            <w:tblPr>
              <w:tblpPr w:leftFromText="180" w:rightFromText="180" w:vertAnchor="text" w:horzAnchor="margin" w:tblpY="-175"/>
              <w:tblOverlap w:val="never"/>
              <w:tblW w:w="85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08"/>
              <w:gridCol w:w="1035"/>
            </w:tblGrid>
            <w:tr w:rsidR="00F40591" w:rsidRPr="00F40591" w:rsidTr="00FA26FD">
              <w:trPr>
                <w:trHeight w:val="518"/>
              </w:trPr>
              <w:tc>
                <w:tcPr>
                  <w:tcW w:w="8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Страховим випадком є пошкодження, знищення або викрадення Застрахованого майна внаслідок наступних подій (страхових ризиків):</w:t>
                  </w:r>
                </w:p>
              </w:tc>
            </w:tr>
            <w:tr w:rsidR="00FA26FD" w:rsidRPr="00F40591" w:rsidTr="00FA26FD">
              <w:trPr>
                <w:trHeight w:val="772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tabs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Вогневі ризики</w:t>
                  </w:r>
                  <w:r w:rsidRPr="00F4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 саме: пожежа та задимлення в результаті пожежі; удар блискавки; вибух газу, що використовується для побутових потреб; падіння пілотованих літальних об'єктів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748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Стихійні явища</w:t>
                  </w:r>
                  <w:r w:rsidRPr="00F4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 саме: повінь/паводок; буря, ураган, вихор; град, сильний дощ (злива); землетрус; зсув ґрунту, сель, гірські обвали, схід снігових лавин; осідання ґрунту; затоплення ґрунтовими водами; тиск снігового покрову; надзвичайні для даної місцевості морози та сильні снігопади; ожеледь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518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Аварія</w:t>
                  </w:r>
                  <w:r w:rsidRPr="00F4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водопровідної, каналізаційної або опалювальної системи, а також системи пожежогасіння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53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Крадіжка</w:t>
                  </w:r>
                  <w:r w:rsidRPr="00F4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грабіж, розбій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53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Протиправні дії третіх осіб, включаючи підпал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65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Наїзд</w:t>
                  </w:r>
                  <w:r w:rsidRPr="00F4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наземного транспорту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53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Вибух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53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Падіння предметів та їх частин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65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Бій скла та скляних деталей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A26FD" w:rsidRPr="00F40591" w:rsidTr="00FA26FD">
              <w:trPr>
                <w:trHeight w:val="265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Звуковий удар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Pr="00F40591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</w:t>
                  </w:r>
                </w:p>
              </w:tc>
            </w:tr>
            <w:tr w:rsidR="00F40591" w:rsidRPr="00F40591" w:rsidTr="00FA26FD">
              <w:trPr>
                <w:trHeight w:val="881"/>
              </w:trPr>
              <w:tc>
                <w:tcPr>
                  <w:tcW w:w="8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591" w:rsidRDefault="00F40591" w:rsidP="00F4059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F40591" w:rsidRPr="00C81B8C" w:rsidRDefault="00F40591" w:rsidP="00F4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Субліміт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страхової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суми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за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страховим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</w:t>
                  </w:r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ипадком</w:t>
                  </w:r>
                  <w:proofErr w:type="spellEnd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«</w:t>
                  </w:r>
                  <w:proofErr w:type="spellStart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Бій</w:t>
                  </w:r>
                  <w:proofErr w:type="spellEnd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Скла</w:t>
                  </w:r>
                  <w:proofErr w:type="spellEnd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» </w:t>
                  </w:r>
                  <w:proofErr w:type="spellStart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обмежується</w:t>
                  </w:r>
                  <w:proofErr w:type="spellEnd"/>
                  <w:r w:rsidR="00052AE0"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</w:t>
                  </w:r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%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страхової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суми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нерухомому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майну за кожною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адресою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місцем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</w:t>
                  </w:r>
                  <w:proofErr w:type="spellStart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страхування</w:t>
                  </w:r>
                  <w:proofErr w:type="spellEnd"/>
                  <w:r w:rsidRPr="00C81B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за Договором.</w:t>
                  </w:r>
                </w:p>
              </w:tc>
            </w:tr>
          </w:tbl>
          <w:p w:rsidR="00F40591" w:rsidRPr="00F40591" w:rsidRDefault="00F40591" w:rsidP="00F405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6EE7" w:rsidRPr="00416EE7" w:rsidRDefault="00416EE7" w:rsidP="00416EE7">
            <w:pPr>
              <w:spacing w:after="200"/>
              <w:rPr>
                <w:sz w:val="20"/>
                <w:szCs w:val="20"/>
              </w:rPr>
            </w:pPr>
          </w:p>
        </w:tc>
      </w:tr>
      <w:tr w:rsidR="00416EE7" w:rsidRPr="00416EE7" w:rsidTr="00C81B8C">
        <w:trPr>
          <w:trHeight w:val="2060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Додаткові умови</w:t>
            </w:r>
          </w:p>
        </w:tc>
        <w:tc>
          <w:tcPr>
            <w:tcW w:w="8583" w:type="dxa"/>
            <w:hideMark/>
          </w:tcPr>
          <w:p w:rsidR="00C81B8C" w:rsidRPr="007D1A68" w:rsidRDefault="00416EE7" w:rsidP="00C81B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6EE7">
              <w:rPr>
                <w:sz w:val="20"/>
                <w:szCs w:val="20"/>
              </w:rPr>
              <w:t xml:space="preserve"> </w:t>
            </w:r>
            <w:r w:rsidR="00C81B8C" w:rsidRPr="007D1A68">
              <w:rPr>
                <w:rFonts w:ascii="Times New Roman" w:hAnsi="Times New Roman"/>
                <w:bCs/>
                <w:sz w:val="20"/>
                <w:szCs w:val="20"/>
              </w:rPr>
              <w:t>У разі припинення дії страхового покриття для окремих об'єктів - норматив на ведення справи по таких об'єктах становить 0%, тобто - не враховується.</w:t>
            </w:r>
          </w:p>
          <w:p w:rsidR="00C81B8C" w:rsidRPr="007D1A68" w:rsidRDefault="00C81B8C" w:rsidP="00C81B8C">
            <w:pPr>
              <w:pStyle w:val="a4"/>
              <w:spacing w:after="0"/>
              <w:rPr>
                <w:lang w:val="uk-UA"/>
              </w:rPr>
            </w:pPr>
          </w:p>
          <w:p w:rsidR="00C81B8C" w:rsidRPr="007D1A68" w:rsidRDefault="00C81B8C" w:rsidP="00C81B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D1A68">
              <w:rPr>
                <w:rFonts w:ascii="Times New Roman" w:hAnsi="Times New Roman"/>
                <w:bCs/>
                <w:sz w:val="20"/>
                <w:szCs w:val="20"/>
              </w:rPr>
              <w:t xml:space="preserve">Термін запиту додаткових документів при розгляді страхових справ становить не більше 15 робочих днів з моменту подання основного пакету документів. Кількість таких запитів не більше 2 разів по кожній справі. Запит повинен містити чітку аргументацію та обґрунтування того що саме буде встановлюватися додатковим документом (конкретні причини, факти, обставини і т. ін.). </w:t>
            </w:r>
          </w:p>
          <w:p w:rsidR="00C81B8C" w:rsidRDefault="00C81B8C" w:rsidP="00C81B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6EE7" w:rsidRPr="00416EE7" w:rsidRDefault="00416EE7" w:rsidP="00DD046F">
            <w:pPr>
              <w:rPr>
                <w:sz w:val="20"/>
                <w:szCs w:val="20"/>
              </w:rPr>
            </w:pPr>
          </w:p>
        </w:tc>
      </w:tr>
      <w:tr w:rsidR="00416EE7" w:rsidRPr="00416EE7" w:rsidTr="00F40591">
        <w:trPr>
          <w:trHeight w:val="1875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Місце дії Договору (адреса)</w:t>
            </w:r>
          </w:p>
        </w:tc>
        <w:tc>
          <w:tcPr>
            <w:tcW w:w="8583" w:type="dxa"/>
            <w:hideMark/>
          </w:tcPr>
          <w:p w:rsidR="00416EE7" w:rsidRDefault="00C81B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61F">
              <w:rPr>
                <w:rFonts w:ascii="Times New Roman" w:hAnsi="Times New Roman"/>
                <w:b/>
                <w:sz w:val="20"/>
                <w:szCs w:val="20"/>
              </w:rPr>
              <w:t>Визначено в Додатку до Договору</w:t>
            </w:r>
          </w:p>
          <w:p w:rsidR="00C81B8C" w:rsidRPr="00416EE7" w:rsidRDefault="00C81B8C">
            <w:pPr>
              <w:rPr>
                <w:sz w:val="20"/>
                <w:szCs w:val="20"/>
              </w:rPr>
            </w:pPr>
            <w:r w:rsidRPr="00E5061F">
              <w:rPr>
                <w:rFonts w:ascii="Times New Roman" w:hAnsi="Times New Roman"/>
                <w:sz w:val="20"/>
                <w:szCs w:val="20"/>
              </w:rPr>
              <w:t xml:space="preserve">Майно вважається застрахованим, якщо воно знаходиться за </w:t>
            </w:r>
            <w:proofErr w:type="spellStart"/>
            <w:r w:rsidRPr="00E5061F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E5061F">
              <w:rPr>
                <w:rFonts w:ascii="Times New Roman" w:hAnsi="Times New Roman"/>
                <w:sz w:val="20"/>
                <w:szCs w:val="20"/>
              </w:rPr>
              <w:t xml:space="preserve">, зазначеною в Додатку до Договору з урахуванням положень </w:t>
            </w:r>
            <w:proofErr w:type="spellStart"/>
            <w:r w:rsidRPr="00E5061F">
              <w:rPr>
                <w:rFonts w:ascii="Times New Roman" w:hAnsi="Times New Roman"/>
                <w:sz w:val="20"/>
                <w:szCs w:val="20"/>
              </w:rPr>
              <w:t>вищазазначених</w:t>
            </w:r>
            <w:proofErr w:type="spellEnd"/>
            <w:r w:rsidRPr="00E5061F">
              <w:rPr>
                <w:rFonts w:ascii="Times New Roman" w:hAnsi="Times New Roman"/>
                <w:sz w:val="20"/>
                <w:szCs w:val="20"/>
              </w:rPr>
              <w:t xml:space="preserve"> умов Договору. При зміні в Звітний період місця розташування об’єктів Застрахованого майна, перелік яких міститься в Додатку до Договору вони вважаються застрахованими за новими адресами розташування.</w:t>
            </w:r>
          </w:p>
        </w:tc>
      </w:tr>
      <w:tr w:rsidR="00416EE7" w:rsidRPr="00416EE7" w:rsidTr="00F40591">
        <w:trPr>
          <w:trHeight w:val="1785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Застраховане майно</w:t>
            </w:r>
          </w:p>
        </w:tc>
        <w:tc>
          <w:tcPr>
            <w:tcW w:w="8583" w:type="dxa"/>
            <w:hideMark/>
          </w:tcPr>
          <w:p w:rsidR="00C81B8C" w:rsidRDefault="00416EE7" w:rsidP="00C81B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EE7">
              <w:rPr>
                <w:sz w:val="20"/>
                <w:szCs w:val="20"/>
              </w:rPr>
              <w:t xml:space="preserve"> </w:t>
            </w:r>
            <w:r w:rsidR="00C81B8C" w:rsidRPr="00E5061F">
              <w:rPr>
                <w:rFonts w:ascii="Times New Roman" w:hAnsi="Times New Roman"/>
                <w:b/>
                <w:sz w:val="20"/>
                <w:szCs w:val="20"/>
              </w:rPr>
              <w:t>Визначено в Додатку до Договору</w:t>
            </w:r>
          </w:p>
          <w:p w:rsidR="00416EE7" w:rsidRPr="00416EE7" w:rsidRDefault="00C81B8C" w:rsidP="00DD046F">
            <w:pPr>
              <w:rPr>
                <w:sz w:val="20"/>
                <w:szCs w:val="20"/>
              </w:rPr>
            </w:pPr>
            <w:r w:rsidRPr="007D1A68">
              <w:rPr>
                <w:rFonts w:ascii="Times New Roman" w:hAnsi="Times New Roman"/>
                <w:sz w:val="20"/>
                <w:szCs w:val="20"/>
              </w:rPr>
              <w:t xml:space="preserve">Рухоме,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D1A68">
              <w:rPr>
                <w:rFonts w:ascii="Times New Roman" w:hAnsi="Times New Roman"/>
                <w:sz w:val="20"/>
                <w:szCs w:val="20"/>
              </w:rPr>
              <w:t>ерухоме майно та капітальні вкладення, яке використовують за прямим призначенням, з додержання передбачених виробником та/або законом норм використання та виробничих норм) згідно з переліком у Додатку до Договору.</w:t>
            </w:r>
          </w:p>
        </w:tc>
      </w:tr>
      <w:tr w:rsidR="00416EE7" w:rsidRPr="00416EE7" w:rsidTr="00F40591">
        <w:trPr>
          <w:trHeight w:val="4515"/>
        </w:trPr>
        <w:tc>
          <w:tcPr>
            <w:tcW w:w="518" w:type="dxa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ПОРЯДОК ЗМІНИ ДІЇ ДОГОВОРУ</w:t>
            </w:r>
          </w:p>
        </w:tc>
        <w:tc>
          <w:tcPr>
            <w:tcW w:w="8583" w:type="dxa"/>
            <w:hideMark/>
          </w:tcPr>
          <w:p w:rsidR="00C81B8C" w:rsidRPr="00E5061F" w:rsidRDefault="00C81B8C" w:rsidP="00C81B8C">
            <w:p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61F">
              <w:rPr>
                <w:rFonts w:ascii="Times New Roman" w:hAnsi="Times New Roman"/>
                <w:b/>
                <w:sz w:val="20"/>
                <w:szCs w:val="20"/>
              </w:rPr>
              <w:t>Звітний період</w:t>
            </w:r>
            <w:r w:rsidRPr="00E5061F">
              <w:rPr>
                <w:rFonts w:ascii="Times New Roman" w:hAnsi="Times New Roman"/>
                <w:sz w:val="20"/>
                <w:szCs w:val="20"/>
              </w:rPr>
              <w:t xml:space="preserve"> - проміжок часу в межах  загального періоду строку дії Договору, по закінченню якого Сторонами проводиться звірка  переліку Застрахованого майна, адрес його розташування, та в разі необхідності здійснюється розрахунок додаткових страхових платежів чи повернення частини Страхового платежу за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говором. Звітний період –  </w:t>
            </w:r>
            <w:r w:rsidRPr="00C81B8C">
              <w:rPr>
                <w:rFonts w:ascii="Times New Roman" w:hAnsi="Times New Roman"/>
                <w:sz w:val="20"/>
                <w:szCs w:val="20"/>
                <w:u w:val="single"/>
              </w:rPr>
              <w:t>кожний  місяць дії Договору.</w:t>
            </w:r>
            <w:r w:rsidRPr="00E50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1B8C" w:rsidRPr="00E5061F" w:rsidRDefault="00C81B8C" w:rsidP="00C81B8C">
            <w:p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61F">
              <w:rPr>
                <w:rFonts w:ascii="Times New Roman" w:hAnsi="Times New Roman"/>
                <w:sz w:val="20"/>
                <w:szCs w:val="20"/>
              </w:rPr>
              <w:t xml:space="preserve">В разі зміни протягом Звітного періоду переліку місця розташування об’єктів Застрахованого майна  та/або об’єктів Застрахованого майна, вказаного у Додатку до Договору з різних причин (вилучення з переліку, зміни адреси чи внесення додаткових об’єктів), Страхувальник повідомляє про таку зміну Страховика шляхом направлення повідомлення листом на паперовому носі та/або електронним та/або факсимільним зв’язком (надалі – «Повідомлення про зміну») протягом 5 (п’яти) робочих днів з моменту закінчення відповідного Звітного періоду.  За умови отримання Повідомлення про зміну за відповідний Звітний період Страхове покриття по відношенню до об’єктів Застрахованого майна починає діяти в разі включення в перелік нових об’єктів з 00:00 годин дня, наступного за днем введення його в експлуатацію або припиняє діяти (в разі зміни та/або виключення з переліку об’єктів) з 00:00 годин дня, наступного за виведення його з експлуатації. </w:t>
            </w:r>
          </w:p>
          <w:p w:rsidR="00C81B8C" w:rsidRPr="00E5061F" w:rsidRDefault="00C81B8C" w:rsidP="00C81B8C">
            <w:p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61F">
              <w:rPr>
                <w:rFonts w:ascii="Times New Roman" w:hAnsi="Times New Roman"/>
                <w:sz w:val="20"/>
                <w:szCs w:val="20"/>
              </w:rPr>
              <w:t>Не пізніше 10 (десяти) робочих днів з моменту отримання Страховиком Повідомлення про зміну Сторони підписують Додаткову угоду за попередній Звітний період, щодо переліку об’єктів Застрахованого майна, який міститься в Додатку до Договору, на підставі Підтверджених Страховиком Повідомлень про зміну. Умови сплати додаткового Страхового платежу чи повернення частини Страхового платежу зазначається в Додатковій угоді. У разі відсутності будь яких змін за звітний період підписання Додаткової угоди є необов’язковим. Все майно, в тому числі нові об’єкти, яке зазнало змін (включення в перелік нових об’єктів, зміни місця та/або адреси розташування) під час Звітного періоду вважається застрахованим за Договором.</w:t>
            </w:r>
          </w:p>
          <w:p w:rsidR="00416EE7" w:rsidRPr="00416EE7" w:rsidRDefault="00416EE7">
            <w:pPr>
              <w:rPr>
                <w:sz w:val="20"/>
                <w:szCs w:val="20"/>
              </w:rPr>
            </w:pPr>
          </w:p>
        </w:tc>
      </w:tr>
      <w:tr w:rsidR="00416EE7" w:rsidRPr="00416EE7" w:rsidTr="00F40591">
        <w:trPr>
          <w:trHeight w:val="300"/>
        </w:trPr>
        <w:tc>
          <w:tcPr>
            <w:tcW w:w="518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  <w:r w:rsidRPr="00416EE7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  <w:r w:rsidRPr="00416EE7">
              <w:rPr>
                <w:sz w:val="20"/>
                <w:szCs w:val="20"/>
              </w:rPr>
              <w:t> </w:t>
            </w:r>
          </w:p>
        </w:tc>
        <w:tc>
          <w:tcPr>
            <w:tcW w:w="8583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  <w:r w:rsidRPr="00416EE7">
              <w:rPr>
                <w:sz w:val="20"/>
                <w:szCs w:val="20"/>
              </w:rPr>
              <w:t> </w:t>
            </w:r>
          </w:p>
        </w:tc>
      </w:tr>
      <w:tr w:rsidR="00416EE7" w:rsidRPr="00416EE7" w:rsidTr="00F40591">
        <w:trPr>
          <w:trHeight w:val="1545"/>
        </w:trPr>
        <w:tc>
          <w:tcPr>
            <w:tcW w:w="10682" w:type="dxa"/>
            <w:gridSpan w:val="3"/>
            <w:hideMark/>
          </w:tcPr>
          <w:p w:rsidR="00416EE7" w:rsidRPr="00416EE7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416E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6EE7" w:rsidRPr="00416EE7" w:rsidTr="00F40591">
        <w:trPr>
          <w:trHeight w:val="300"/>
        </w:trPr>
        <w:tc>
          <w:tcPr>
            <w:tcW w:w="518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</w:p>
        </w:tc>
        <w:tc>
          <w:tcPr>
            <w:tcW w:w="8583" w:type="dxa"/>
            <w:hideMark/>
          </w:tcPr>
          <w:p w:rsidR="00416EE7" w:rsidRPr="00416EE7" w:rsidRDefault="00416EE7">
            <w:pPr>
              <w:rPr>
                <w:sz w:val="20"/>
                <w:szCs w:val="20"/>
              </w:rPr>
            </w:pPr>
          </w:p>
        </w:tc>
      </w:tr>
      <w:tr w:rsidR="00416EE7" w:rsidRPr="00416EE7" w:rsidTr="00F40591">
        <w:trPr>
          <w:trHeight w:val="300"/>
        </w:trPr>
        <w:tc>
          <w:tcPr>
            <w:tcW w:w="10682" w:type="dxa"/>
            <w:gridSpan w:val="3"/>
            <w:hideMark/>
          </w:tcPr>
          <w:p w:rsidR="00416EE7" w:rsidRPr="00416EE7" w:rsidRDefault="00416E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EE7">
              <w:rPr>
                <w:b/>
                <w:bCs/>
                <w:i/>
                <w:iCs/>
                <w:sz w:val="20"/>
                <w:szCs w:val="20"/>
              </w:rPr>
              <w:t xml:space="preserve">* Кількість об'єктів може бути змінена </w:t>
            </w:r>
          </w:p>
        </w:tc>
      </w:tr>
      <w:tr w:rsidR="00416EE7" w:rsidRPr="00416EE7" w:rsidTr="00F40591">
        <w:trPr>
          <w:trHeight w:val="300"/>
        </w:trPr>
        <w:tc>
          <w:tcPr>
            <w:tcW w:w="10682" w:type="dxa"/>
            <w:gridSpan w:val="3"/>
            <w:hideMark/>
          </w:tcPr>
          <w:p w:rsidR="00416EE7" w:rsidRPr="00416EE7" w:rsidRDefault="00416E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EE7">
              <w:rPr>
                <w:b/>
                <w:bCs/>
                <w:i/>
                <w:iCs/>
                <w:sz w:val="20"/>
                <w:szCs w:val="20"/>
              </w:rPr>
              <w:t>** Загальна страхова сума залежить від кількості об'єктів</w:t>
            </w:r>
          </w:p>
        </w:tc>
      </w:tr>
    </w:tbl>
    <w:p w:rsidR="00552B08" w:rsidRPr="00416EE7" w:rsidRDefault="00552B08">
      <w:pPr>
        <w:rPr>
          <w:sz w:val="20"/>
          <w:szCs w:val="20"/>
        </w:rPr>
      </w:pPr>
    </w:p>
    <w:sectPr w:rsidR="00552B08" w:rsidRPr="00416EE7" w:rsidSect="0041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5"/>
    <w:rsid w:val="00052AE0"/>
    <w:rsid w:val="000A7B96"/>
    <w:rsid w:val="00253F5E"/>
    <w:rsid w:val="00410DE7"/>
    <w:rsid w:val="00416EE7"/>
    <w:rsid w:val="00552B08"/>
    <w:rsid w:val="00910BC5"/>
    <w:rsid w:val="00A0747E"/>
    <w:rsid w:val="00B60EDF"/>
    <w:rsid w:val="00C81B8C"/>
    <w:rsid w:val="00C822A4"/>
    <w:rsid w:val="00DD046F"/>
    <w:rsid w:val="00F40591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A163-7DBF-4D3C-91BD-0D74F34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81B8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C81B8C"/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Укрсоцбанк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Богдан Николаевич</dc:creator>
  <cp:keywords/>
  <dc:description/>
  <cp:lastModifiedBy>Худотепла Наталія Володимирівна</cp:lastModifiedBy>
  <cp:revision>2</cp:revision>
  <dcterms:created xsi:type="dcterms:W3CDTF">2019-09-26T12:03:00Z</dcterms:created>
  <dcterms:modified xsi:type="dcterms:W3CDTF">2019-09-26T12:03:00Z</dcterms:modified>
</cp:coreProperties>
</file>